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C051" w14:textId="77777777" w:rsidR="00173C76" w:rsidRDefault="00173C76" w:rsidP="00173C76">
      <w:pPr>
        <w:pStyle w:val="c14"/>
        <w:spacing w:before="0" w:beforeAutospacing="0" w:after="0" w:afterAutospacing="0"/>
        <w:jc w:val="center"/>
        <w:rPr>
          <w:rFonts w:ascii="Arial" w:hAnsi="Arial" w:cs="Arial"/>
          <w:color w:val="000000"/>
          <w:sz w:val="22"/>
          <w:szCs w:val="22"/>
        </w:rPr>
      </w:pPr>
      <w:r>
        <w:rPr>
          <w:rStyle w:val="c7"/>
          <w:rFonts w:ascii="Proxima Nova" w:hAnsi="Proxima Nova" w:cs="Arial"/>
          <w:b/>
          <w:bCs/>
          <w:color w:val="000000"/>
          <w:sz w:val="26"/>
          <w:szCs w:val="26"/>
        </w:rPr>
        <w:t>Background/Shared Understanding</w:t>
      </w:r>
    </w:p>
    <w:p w14:paraId="098FEE32" w14:textId="77777777" w:rsidR="00173C76" w:rsidRDefault="00173C76" w:rsidP="00173C76">
      <w:pPr>
        <w:pStyle w:val="c3"/>
        <w:spacing w:before="0" w:beforeAutospacing="0" w:after="0" w:afterAutospacing="0"/>
        <w:rPr>
          <w:rFonts w:ascii="Arial" w:hAnsi="Arial" w:cs="Arial"/>
          <w:color w:val="000000"/>
          <w:sz w:val="22"/>
          <w:szCs w:val="22"/>
        </w:rPr>
      </w:pPr>
      <w:r>
        <w:rPr>
          <w:rStyle w:val="c0"/>
          <w:rFonts w:ascii="Proxima Nova" w:hAnsi="Proxima Nova" w:cs="Arial"/>
          <w:color w:val="000000"/>
        </w:rPr>
        <w:t>This Memorandum of Understanding was created as a joint effort of CDDP and Brokerage staff to establish smoother and more equitable processes for individual choice advising and enrollment.</w:t>
      </w:r>
    </w:p>
    <w:p w14:paraId="71B1B6EC" w14:textId="77777777" w:rsidR="00173C76" w:rsidRDefault="00173C76" w:rsidP="00173C76">
      <w:pPr>
        <w:pStyle w:val="c3"/>
        <w:spacing w:before="0" w:beforeAutospacing="0" w:after="0" w:afterAutospacing="0"/>
        <w:rPr>
          <w:rFonts w:ascii="Arial" w:hAnsi="Arial" w:cs="Arial"/>
          <w:color w:val="000000"/>
          <w:sz w:val="22"/>
          <w:szCs w:val="22"/>
        </w:rPr>
      </w:pPr>
      <w:r>
        <w:rPr>
          <w:rStyle w:val="c0"/>
          <w:rFonts w:ascii="Proxima Nova" w:hAnsi="Proxima Nova" w:cs="Arial"/>
          <w:color w:val="000000"/>
        </w:rPr>
        <w:t xml:space="preserve">Advising people of their choices related to Case Management Entity (CME) is a shared responsibility of CDDPs, Brokerages, and ODDS. The current system structure requires that all people applying for services must do so through a CDDP. Once enrolled, people </w:t>
      </w:r>
      <w:proofErr w:type="gramStart"/>
      <w:r>
        <w:rPr>
          <w:rStyle w:val="c0"/>
          <w:rFonts w:ascii="Proxima Nova" w:hAnsi="Proxima Nova" w:cs="Arial"/>
          <w:color w:val="000000"/>
        </w:rPr>
        <w:t>are able to</w:t>
      </w:r>
      <w:proofErr w:type="gramEnd"/>
      <w:r>
        <w:rPr>
          <w:rStyle w:val="c0"/>
          <w:rFonts w:ascii="Proxima Nova" w:hAnsi="Proxima Nova" w:cs="Arial"/>
          <w:color w:val="000000"/>
        </w:rPr>
        <w:t xml:space="preserve"> move through choice from Brokerages to CDDPs and vice versa. Choice advising is therefore an important and on-going part of IDD case management work.</w:t>
      </w:r>
    </w:p>
    <w:p w14:paraId="49C375DE" w14:textId="77777777" w:rsidR="00173C76" w:rsidRDefault="00173C76" w:rsidP="00173C76">
      <w:pPr>
        <w:pStyle w:val="c3"/>
        <w:spacing w:before="0" w:beforeAutospacing="0" w:after="0" w:afterAutospacing="0"/>
        <w:rPr>
          <w:rFonts w:ascii="Arial" w:hAnsi="Arial" w:cs="Arial"/>
          <w:color w:val="000000"/>
          <w:sz w:val="22"/>
          <w:szCs w:val="22"/>
        </w:rPr>
      </w:pPr>
      <w:r>
        <w:rPr>
          <w:rStyle w:val="c0"/>
          <w:rFonts w:ascii="Proxima Nova" w:hAnsi="Proxima Nova" w:cs="Arial"/>
          <w:color w:val="000000"/>
        </w:rPr>
        <w:t xml:space="preserve">Communication amongst local CMEs is critical. To maintain positive working relationships and excellent customer service, it is recommended that local regions hold at least quarterly meetings. The meetings serve to establish and monitor these local processes, </w:t>
      </w:r>
      <w:proofErr w:type="gramStart"/>
      <w:r>
        <w:rPr>
          <w:rStyle w:val="c0"/>
          <w:rFonts w:ascii="Proxima Nova" w:hAnsi="Proxima Nova" w:cs="Arial"/>
          <w:color w:val="000000"/>
        </w:rPr>
        <w:t>flag</w:t>
      </w:r>
      <w:proofErr w:type="gramEnd"/>
      <w:r>
        <w:rPr>
          <w:rStyle w:val="c0"/>
          <w:rFonts w:ascii="Proxima Nova" w:hAnsi="Proxima Nova" w:cs="Arial"/>
          <w:color w:val="000000"/>
        </w:rPr>
        <w:t xml:space="preserve"> and resolve issues as they arise, and help to avoid unwanted policy drift over time.</w:t>
      </w:r>
    </w:p>
    <w:p w14:paraId="6A8DA27B" w14:textId="77777777" w:rsidR="00173C76" w:rsidRDefault="00173C76" w:rsidP="00173C76">
      <w:pPr>
        <w:pStyle w:val="c3"/>
        <w:spacing w:before="0" w:beforeAutospacing="0" w:after="0" w:afterAutospacing="0"/>
        <w:rPr>
          <w:rFonts w:ascii="Arial" w:hAnsi="Arial" w:cs="Arial"/>
          <w:color w:val="000000"/>
          <w:sz w:val="22"/>
          <w:szCs w:val="22"/>
        </w:rPr>
      </w:pPr>
      <w:r>
        <w:rPr>
          <w:rStyle w:val="c0"/>
          <w:rFonts w:ascii="Proxima Nova" w:hAnsi="Proxima Nova" w:cs="Arial"/>
          <w:color w:val="000000"/>
        </w:rPr>
        <w:t>Additionally, there may at times be large-scale CME structural change in the IDD system. When that occurs, there need to be local conversations and agreements in place to determine appropriate referral schedules and practices.</w:t>
      </w:r>
    </w:p>
    <w:p w14:paraId="569F4AE8" w14:textId="77777777" w:rsidR="00173C76" w:rsidRDefault="00173C76" w:rsidP="00173C76">
      <w:pPr>
        <w:pStyle w:val="c14"/>
        <w:spacing w:before="0" w:beforeAutospacing="0" w:after="0" w:afterAutospacing="0"/>
        <w:jc w:val="center"/>
        <w:rPr>
          <w:rFonts w:ascii="Arial" w:hAnsi="Arial" w:cs="Arial"/>
          <w:color w:val="000000"/>
          <w:sz w:val="22"/>
          <w:szCs w:val="22"/>
        </w:rPr>
      </w:pPr>
      <w:r>
        <w:rPr>
          <w:rStyle w:val="c7"/>
          <w:rFonts w:ascii="Proxima Nova" w:hAnsi="Proxima Nova" w:cs="Arial"/>
          <w:b/>
          <w:bCs/>
          <w:color w:val="000000"/>
          <w:sz w:val="26"/>
          <w:szCs w:val="26"/>
        </w:rPr>
        <w:t>Agreements</w:t>
      </w:r>
    </w:p>
    <w:p w14:paraId="38099AA5" w14:textId="77777777" w:rsidR="00173C76" w:rsidRDefault="00173C76" w:rsidP="00173C76">
      <w:pPr>
        <w:pStyle w:val="c3"/>
        <w:numPr>
          <w:ilvl w:val="0"/>
          <w:numId w:val="1"/>
        </w:numPr>
        <w:ind w:left="1440"/>
        <w:rPr>
          <w:rFonts w:ascii="Arial" w:hAnsi="Arial" w:cs="Arial"/>
          <w:color w:val="000000"/>
          <w:sz w:val="22"/>
          <w:szCs w:val="22"/>
        </w:rPr>
      </w:pPr>
      <w:r>
        <w:rPr>
          <w:rStyle w:val="c5"/>
          <w:rFonts w:ascii="Proxima Nova" w:hAnsi="Proxima Nova" w:cs="Arial"/>
          <w:b/>
          <w:bCs/>
          <w:color w:val="000000"/>
        </w:rPr>
        <w:t>Data Sharing</w:t>
      </w:r>
    </w:p>
    <w:p w14:paraId="637E8926" w14:textId="77777777" w:rsidR="00173C76" w:rsidRDefault="00173C76" w:rsidP="00173C76">
      <w:pPr>
        <w:pStyle w:val="c3"/>
        <w:numPr>
          <w:ilvl w:val="0"/>
          <w:numId w:val="2"/>
        </w:numPr>
        <w:ind w:left="2160"/>
        <w:rPr>
          <w:rFonts w:ascii="Arial" w:hAnsi="Arial" w:cs="Arial"/>
          <w:color w:val="000000"/>
          <w:sz w:val="22"/>
          <w:szCs w:val="22"/>
        </w:rPr>
      </w:pPr>
      <w:r>
        <w:rPr>
          <w:rStyle w:val="c0"/>
          <w:rFonts w:ascii="Proxima Nova" w:hAnsi="Proxima Nova" w:cs="Arial"/>
          <w:color w:val="000000"/>
        </w:rPr>
        <w:t>CDDPs agree to share information about eligibility numbers quarterly, including children aging into adult in-home services.</w:t>
      </w:r>
    </w:p>
    <w:p w14:paraId="08607583" w14:textId="77777777" w:rsidR="00173C76" w:rsidRDefault="00173C76" w:rsidP="00173C76">
      <w:pPr>
        <w:pStyle w:val="c3"/>
        <w:numPr>
          <w:ilvl w:val="0"/>
          <w:numId w:val="2"/>
        </w:numPr>
        <w:ind w:left="2160"/>
        <w:rPr>
          <w:rFonts w:ascii="Arial" w:hAnsi="Arial" w:cs="Arial"/>
          <w:color w:val="000000"/>
          <w:sz w:val="22"/>
          <w:szCs w:val="22"/>
        </w:rPr>
      </w:pPr>
      <w:proofErr w:type="gramStart"/>
      <w:r>
        <w:rPr>
          <w:rStyle w:val="c0"/>
          <w:rFonts w:ascii="Proxima Nova" w:hAnsi="Proxima Nova" w:cs="Arial"/>
          <w:color w:val="000000"/>
        </w:rPr>
        <w:t>Brokerages</w:t>
      </w:r>
      <w:proofErr w:type="gramEnd"/>
      <w:r>
        <w:rPr>
          <w:rStyle w:val="c0"/>
          <w:rFonts w:ascii="Proxima Nova" w:hAnsi="Proxima Nova" w:cs="Arial"/>
          <w:color w:val="000000"/>
        </w:rPr>
        <w:t xml:space="preserve"> agree to share quarterly capacity numbers to serve individuals in their catchment area without additional limits. Brokerages may have internal policies regarding limits based on paid capacity. Brokerages serving multiple counties in the catchment area will need to manage space for all counties.</w:t>
      </w:r>
    </w:p>
    <w:p w14:paraId="7788DBFB" w14:textId="77777777" w:rsidR="00173C76" w:rsidRDefault="00173C76" w:rsidP="00173C76">
      <w:pPr>
        <w:pStyle w:val="c3"/>
        <w:numPr>
          <w:ilvl w:val="0"/>
          <w:numId w:val="2"/>
        </w:numPr>
        <w:ind w:left="2160"/>
        <w:rPr>
          <w:rFonts w:ascii="Arial" w:hAnsi="Arial" w:cs="Arial"/>
          <w:color w:val="000000"/>
          <w:sz w:val="22"/>
          <w:szCs w:val="22"/>
        </w:rPr>
      </w:pPr>
      <w:r>
        <w:rPr>
          <w:rStyle w:val="c0"/>
          <w:rFonts w:ascii="Proxima Nova" w:hAnsi="Proxima Nova" w:cs="Arial"/>
          <w:color w:val="000000"/>
        </w:rPr>
        <w:t>Local CMEs must establish a process to track requests for a specific CME.</w:t>
      </w:r>
    </w:p>
    <w:p w14:paraId="586C31A1" w14:textId="77777777" w:rsidR="00173C76" w:rsidRDefault="00173C76" w:rsidP="00173C76">
      <w:pPr>
        <w:pStyle w:val="c3"/>
        <w:numPr>
          <w:ilvl w:val="0"/>
          <w:numId w:val="3"/>
        </w:numPr>
        <w:ind w:left="1440"/>
        <w:rPr>
          <w:rFonts w:ascii="Arial" w:hAnsi="Arial" w:cs="Arial"/>
          <w:color w:val="000000"/>
          <w:sz w:val="22"/>
          <w:szCs w:val="22"/>
        </w:rPr>
      </w:pPr>
      <w:r>
        <w:rPr>
          <w:rStyle w:val="c5"/>
          <w:rFonts w:ascii="Proxima Nova" w:hAnsi="Proxima Nova" w:cs="Arial"/>
          <w:b/>
          <w:bCs/>
          <w:color w:val="000000"/>
        </w:rPr>
        <w:t>Choice Advising Basics and Ongoing</w:t>
      </w:r>
    </w:p>
    <w:p w14:paraId="49B8DAA9" w14:textId="77777777" w:rsidR="00173C76" w:rsidRDefault="00173C76" w:rsidP="00173C76">
      <w:pPr>
        <w:pStyle w:val="c3"/>
        <w:numPr>
          <w:ilvl w:val="0"/>
          <w:numId w:val="4"/>
        </w:numPr>
        <w:ind w:left="2160"/>
        <w:rPr>
          <w:rFonts w:ascii="Arial" w:hAnsi="Arial" w:cs="Arial"/>
          <w:color w:val="000000"/>
          <w:sz w:val="22"/>
          <w:szCs w:val="22"/>
        </w:rPr>
      </w:pPr>
      <w:r>
        <w:rPr>
          <w:rStyle w:val="c0"/>
          <w:rFonts w:ascii="Proxima Nova" w:hAnsi="Proxima Nova" w:cs="Arial"/>
          <w:color w:val="000000"/>
        </w:rPr>
        <w:t>Choice advising of CME options will occur at the start of the intake process, upon inquiry and as an annual requirement per OAR 411-415-0050(8).</w:t>
      </w:r>
    </w:p>
    <w:p w14:paraId="53A951D2" w14:textId="77777777" w:rsidR="00173C76" w:rsidRDefault="00173C76" w:rsidP="00173C76">
      <w:pPr>
        <w:pStyle w:val="c3"/>
        <w:numPr>
          <w:ilvl w:val="0"/>
          <w:numId w:val="4"/>
        </w:numPr>
        <w:ind w:left="2160"/>
        <w:rPr>
          <w:rFonts w:ascii="Arial" w:hAnsi="Arial" w:cs="Arial"/>
          <w:color w:val="000000"/>
          <w:sz w:val="22"/>
          <w:szCs w:val="22"/>
        </w:rPr>
      </w:pPr>
      <w:r>
        <w:rPr>
          <w:rStyle w:val="c0"/>
          <w:rFonts w:ascii="Proxima Nova" w:hAnsi="Proxima Nova" w:cs="Arial"/>
          <w:color w:val="000000"/>
        </w:rPr>
        <w:t>CMEs agree to ensure staff who are rendering choice of CME have a basic understanding and ability to describe the service offered by each CME.</w:t>
      </w:r>
    </w:p>
    <w:p w14:paraId="21B4C99F" w14:textId="77777777" w:rsidR="00173C76" w:rsidRDefault="00173C76" w:rsidP="00173C76">
      <w:pPr>
        <w:pStyle w:val="c3"/>
        <w:numPr>
          <w:ilvl w:val="0"/>
          <w:numId w:val="4"/>
        </w:numPr>
        <w:ind w:left="2160"/>
        <w:rPr>
          <w:rFonts w:ascii="Arial" w:hAnsi="Arial" w:cs="Arial"/>
          <w:color w:val="000000"/>
          <w:sz w:val="22"/>
          <w:szCs w:val="22"/>
        </w:rPr>
      </w:pPr>
      <w:r>
        <w:rPr>
          <w:rStyle w:val="c0"/>
          <w:rFonts w:ascii="Proxima Nova" w:hAnsi="Proxima Nova" w:cs="Arial"/>
          <w:color w:val="000000"/>
        </w:rPr>
        <w:t>Equity must be considered in the choice advising process. Translated materials should be provided. Each CME should be aware of and up to date on the local CME staff options for people to be served by someone who speaks their primary language and/or represents their cultural background.</w:t>
      </w:r>
    </w:p>
    <w:p w14:paraId="2FA7948E" w14:textId="77777777" w:rsidR="00173C76" w:rsidRDefault="00173C76" w:rsidP="00173C76">
      <w:pPr>
        <w:pStyle w:val="c3"/>
        <w:numPr>
          <w:ilvl w:val="0"/>
          <w:numId w:val="4"/>
        </w:numPr>
        <w:ind w:left="2160"/>
        <w:rPr>
          <w:rFonts w:ascii="Arial" w:hAnsi="Arial" w:cs="Arial"/>
          <w:color w:val="000000"/>
          <w:sz w:val="22"/>
          <w:szCs w:val="22"/>
        </w:rPr>
      </w:pPr>
      <w:r>
        <w:rPr>
          <w:rStyle w:val="c0"/>
          <w:rFonts w:ascii="Proxima Nova" w:hAnsi="Proxima Nova" w:cs="Arial"/>
          <w:color w:val="000000"/>
        </w:rPr>
        <w:lastRenderedPageBreak/>
        <w:t>CMEs will share the preferred materials of their local partners when rendering choice to individuals with IDD.</w:t>
      </w:r>
    </w:p>
    <w:p w14:paraId="4AFAE37A" w14:textId="77777777" w:rsidR="00173C76" w:rsidRDefault="00173C76" w:rsidP="00173C76">
      <w:pPr>
        <w:pStyle w:val="c3"/>
        <w:numPr>
          <w:ilvl w:val="0"/>
          <w:numId w:val="4"/>
        </w:numPr>
        <w:ind w:left="2160"/>
        <w:rPr>
          <w:rFonts w:ascii="Arial" w:hAnsi="Arial" w:cs="Arial"/>
          <w:color w:val="000000"/>
          <w:sz w:val="22"/>
          <w:szCs w:val="22"/>
        </w:rPr>
      </w:pPr>
      <w:r>
        <w:rPr>
          <w:rStyle w:val="c0"/>
          <w:rFonts w:ascii="Proxima Nova" w:hAnsi="Proxima Nova" w:cs="Arial"/>
          <w:color w:val="000000"/>
        </w:rPr>
        <w:t xml:space="preserve">CMEs will collaborate toward CME choice events to be held both virtually and in-person. The purpose of these events is to provide the </w:t>
      </w:r>
      <w:proofErr w:type="gramStart"/>
      <w:r>
        <w:rPr>
          <w:rStyle w:val="c0"/>
          <w:rFonts w:ascii="Proxima Nova" w:hAnsi="Proxima Nova" w:cs="Arial"/>
          <w:color w:val="000000"/>
        </w:rPr>
        <w:t>community</w:t>
      </w:r>
      <w:proofErr w:type="gramEnd"/>
      <w:r>
        <w:rPr>
          <w:rStyle w:val="c0"/>
          <w:rFonts w:ascii="Proxima Nova" w:hAnsi="Proxima Nova" w:cs="Arial"/>
          <w:color w:val="000000"/>
        </w:rPr>
        <w:t xml:space="preserve"> the opportunity to learn about local CMEs and make informed choices.</w:t>
      </w:r>
    </w:p>
    <w:p w14:paraId="15F59BA3" w14:textId="77777777" w:rsidR="00173C76" w:rsidRDefault="00173C76" w:rsidP="00173C76">
      <w:pPr>
        <w:pStyle w:val="c3"/>
        <w:numPr>
          <w:ilvl w:val="0"/>
          <w:numId w:val="5"/>
        </w:numPr>
        <w:ind w:left="1440"/>
        <w:rPr>
          <w:rFonts w:ascii="Arial" w:hAnsi="Arial" w:cs="Arial"/>
          <w:color w:val="000000"/>
          <w:sz w:val="22"/>
          <w:szCs w:val="22"/>
        </w:rPr>
      </w:pPr>
      <w:r>
        <w:rPr>
          <w:rStyle w:val="c5"/>
          <w:rFonts w:ascii="Proxima Nova" w:hAnsi="Proxima Nova" w:cs="Arial"/>
          <w:b/>
          <w:bCs/>
          <w:color w:val="000000"/>
        </w:rPr>
        <w:t>Choice Advising, Adults Newly Eligible for Services</w:t>
      </w:r>
    </w:p>
    <w:p w14:paraId="0A60674D" w14:textId="77777777" w:rsidR="00173C76" w:rsidRDefault="00173C76" w:rsidP="00173C76">
      <w:pPr>
        <w:pStyle w:val="c3"/>
        <w:numPr>
          <w:ilvl w:val="0"/>
          <w:numId w:val="6"/>
        </w:numPr>
        <w:ind w:left="2160"/>
        <w:rPr>
          <w:rFonts w:ascii="Arial" w:hAnsi="Arial" w:cs="Arial"/>
          <w:color w:val="000000"/>
          <w:sz w:val="22"/>
          <w:szCs w:val="22"/>
        </w:rPr>
      </w:pPr>
      <w:r>
        <w:rPr>
          <w:rStyle w:val="c0"/>
          <w:rFonts w:ascii="Proxima Nova" w:hAnsi="Proxima Nova" w:cs="Arial"/>
          <w:color w:val="000000"/>
        </w:rPr>
        <w:t xml:space="preserve">When a person applies for IDD </w:t>
      </w:r>
      <w:proofErr w:type="gramStart"/>
      <w:r>
        <w:rPr>
          <w:rStyle w:val="c0"/>
          <w:rFonts w:ascii="Proxima Nova" w:hAnsi="Proxima Nova" w:cs="Arial"/>
          <w:color w:val="000000"/>
        </w:rPr>
        <w:t>services</w:t>
      </w:r>
      <w:proofErr w:type="gramEnd"/>
      <w:r>
        <w:rPr>
          <w:rStyle w:val="c0"/>
          <w:rFonts w:ascii="Proxima Nova" w:hAnsi="Proxima Nova" w:cs="Arial"/>
          <w:color w:val="000000"/>
        </w:rPr>
        <w:t xml:space="preserve"> they will be provided information about service and case management options, advised of the CMEs serving their geographic location, and encouraged to conduct their own research to arrive at their CME selection.</w:t>
      </w:r>
    </w:p>
    <w:p w14:paraId="2F67B975" w14:textId="77777777" w:rsidR="00173C76" w:rsidRDefault="00173C76" w:rsidP="00173C76">
      <w:pPr>
        <w:pStyle w:val="c3"/>
        <w:numPr>
          <w:ilvl w:val="0"/>
          <w:numId w:val="6"/>
        </w:numPr>
        <w:ind w:left="2160"/>
        <w:rPr>
          <w:rFonts w:ascii="Arial" w:hAnsi="Arial" w:cs="Arial"/>
          <w:color w:val="000000"/>
          <w:sz w:val="22"/>
          <w:szCs w:val="22"/>
        </w:rPr>
      </w:pPr>
      <w:r>
        <w:rPr>
          <w:rStyle w:val="c0"/>
          <w:rFonts w:ascii="Proxima Nova" w:hAnsi="Proxima Nova" w:cs="Arial"/>
          <w:color w:val="000000"/>
        </w:rPr>
        <w:t>Local CMEs will work together to determine what will be provided. Individual CMEs are responsible for sending written material to partnering CMEs for distribution. This may be digital, physical or both.</w:t>
      </w:r>
    </w:p>
    <w:p w14:paraId="39429818" w14:textId="77777777" w:rsidR="00173C76" w:rsidRDefault="00173C76" w:rsidP="00173C76">
      <w:pPr>
        <w:pStyle w:val="c3"/>
        <w:numPr>
          <w:ilvl w:val="0"/>
          <w:numId w:val="6"/>
        </w:numPr>
        <w:ind w:left="2160"/>
        <w:rPr>
          <w:rFonts w:ascii="Arial" w:hAnsi="Arial" w:cs="Arial"/>
          <w:color w:val="000000"/>
          <w:sz w:val="22"/>
          <w:szCs w:val="22"/>
        </w:rPr>
      </w:pPr>
      <w:r>
        <w:rPr>
          <w:rStyle w:val="c0"/>
          <w:rFonts w:ascii="Proxima Nova" w:hAnsi="Proxima Nova" w:cs="Arial"/>
          <w:color w:val="000000"/>
        </w:rPr>
        <w:t xml:space="preserve">After an adult requesting in-home or case management only services is found eligible for IDD </w:t>
      </w:r>
      <w:proofErr w:type="gramStart"/>
      <w:r>
        <w:rPr>
          <w:rStyle w:val="c0"/>
          <w:rFonts w:ascii="Proxima Nova" w:hAnsi="Proxima Nova" w:cs="Arial"/>
          <w:color w:val="000000"/>
        </w:rPr>
        <w:t>services</w:t>
      </w:r>
      <w:proofErr w:type="gramEnd"/>
      <w:r>
        <w:rPr>
          <w:rStyle w:val="c0"/>
          <w:rFonts w:ascii="Proxima Nova" w:hAnsi="Proxima Nova" w:cs="Arial"/>
          <w:color w:val="000000"/>
        </w:rPr>
        <w:t xml:space="preserve"> they will be asked their choice of CME.</w:t>
      </w:r>
    </w:p>
    <w:p w14:paraId="4AD19B59" w14:textId="77777777" w:rsidR="00173C76" w:rsidRDefault="00173C76" w:rsidP="00173C76">
      <w:pPr>
        <w:pStyle w:val="c1"/>
        <w:numPr>
          <w:ilvl w:val="0"/>
          <w:numId w:val="7"/>
        </w:numPr>
        <w:ind w:left="2880"/>
        <w:rPr>
          <w:rFonts w:ascii="Arial" w:hAnsi="Arial" w:cs="Arial"/>
          <w:color w:val="000000"/>
          <w:sz w:val="22"/>
          <w:szCs w:val="22"/>
        </w:rPr>
      </w:pPr>
      <w:r>
        <w:rPr>
          <w:rStyle w:val="c0"/>
          <w:rFonts w:ascii="Proxima Nova" w:hAnsi="Proxima Nova" w:cs="Arial"/>
          <w:color w:val="000000"/>
        </w:rPr>
        <w:t>Within 5 days of the eligibility effective date, if a person has not made a choice of CMEs, they will be asked to make their decision from among the CMEs serving their location.</w:t>
      </w:r>
    </w:p>
    <w:p w14:paraId="66417BDF" w14:textId="77777777" w:rsidR="00173C76" w:rsidRDefault="00173C76" w:rsidP="00173C76">
      <w:pPr>
        <w:pStyle w:val="c3"/>
        <w:numPr>
          <w:ilvl w:val="0"/>
          <w:numId w:val="8"/>
        </w:numPr>
        <w:ind w:left="3600"/>
        <w:rPr>
          <w:rFonts w:ascii="Arial" w:hAnsi="Arial" w:cs="Arial"/>
          <w:color w:val="000000"/>
          <w:sz w:val="22"/>
          <w:szCs w:val="22"/>
        </w:rPr>
      </w:pPr>
      <w:r>
        <w:rPr>
          <w:rStyle w:val="c0"/>
          <w:rFonts w:ascii="Proxima Nova" w:hAnsi="Proxima Nova" w:cs="Arial"/>
          <w:color w:val="000000"/>
        </w:rPr>
        <w:t>If a person does not select from the CMEs operating in their area or does not respond within 5 business days, CDDP staff will rotate default enrollment for CM services from amongst the local CMEs. (i.e., alternating enrollments with the Brokerage where there is only one, and rotating among all CMEs where there are more than two)</w:t>
      </w:r>
    </w:p>
    <w:p w14:paraId="793A1258" w14:textId="77777777" w:rsidR="00173C76" w:rsidRDefault="00173C76" w:rsidP="00173C76">
      <w:pPr>
        <w:pStyle w:val="c3"/>
        <w:numPr>
          <w:ilvl w:val="0"/>
          <w:numId w:val="8"/>
        </w:numPr>
        <w:ind w:left="3600"/>
        <w:rPr>
          <w:rFonts w:ascii="Arial" w:hAnsi="Arial" w:cs="Arial"/>
          <w:color w:val="000000"/>
          <w:sz w:val="22"/>
          <w:szCs w:val="22"/>
        </w:rPr>
      </w:pPr>
      <w:r>
        <w:rPr>
          <w:rStyle w:val="c0"/>
          <w:rFonts w:ascii="Proxima Nova" w:hAnsi="Proxima Nova" w:cs="Arial"/>
          <w:color w:val="000000"/>
        </w:rPr>
        <w:t>If a person opts to receive case management from a Brokerage, the CDDP will notify the Brokerage immediately, Brokerage will confirm capacity, and CDDP will begin file transfer. The customer file essentials (see below) must be sent to the Brokerage within 10 days of the eligibility effective date.</w:t>
      </w:r>
    </w:p>
    <w:p w14:paraId="43DEAF3B" w14:textId="77777777" w:rsidR="00173C76" w:rsidRDefault="00173C76" w:rsidP="00173C76">
      <w:pPr>
        <w:pStyle w:val="c3"/>
        <w:numPr>
          <w:ilvl w:val="0"/>
          <w:numId w:val="9"/>
        </w:numPr>
        <w:ind w:left="4320"/>
        <w:rPr>
          <w:rFonts w:ascii="Arial" w:hAnsi="Arial" w:cs="Arial"/>
          <w:color w:val="000000"/>
          <w:sz w:val="22"/>
          <w:szCs w:val="22"/>
        </w:rPr>
      </w:pPr>
      <w:r>
        <w:rPr>
          <w:rStyle w:val="c0"/>
          <w:rFonts w:ascii="Proxima Nova" w:hAnsi="Proxima Nova" w:cs="Arial"/>
          <w:color w:val="000000"/>
        </w:rPr>
        <w:t>If a person opts to work with a Brokerage that does not currently have capacity:</w:t>
      </w:r>
    </w:p>
    <w:p w14:paraId="50F54E9D" w14:textId="77777777" w:rsidR="00173C76" w:rsidRDefault="00173C76" w:rsidP="00173C76">
      <w:pPr>
        <w:pStyle w:val="c3"/>
        <w:numPr>
          <w:ilvl w:val="0"/>
          <w:numId w:val="10"/>
        </w:numPr>
        <w:ind w:left="5040"/>
        <w:rPr>
          <w:rFonts w:ascii="Arial" w:hAnsi="Arial" w:cs="Arial"/>
          <w:color w:val="000000"/>
          <w:sz w:val="22"/>
          <w:szCs w:val="22"/>
        </w:rPr>
      </w:pPr>
      <w:r>
        <w:rPr>
          <w:rStyle w:val="c0"/>
          <w:rFonts w:ascii="Proxima Nova" w:hAnsi="Proxima Nova" w:cs="Arial"/>
          <w:color w:val="000000"/>
        </w:rPr>
        <w:lastRenderedPageBreak/>
        <w:t>The CDDP notifies the Brokerage of the request and provides contact for the individual.</w:t>
      </w:r>
    </w:p>
    <w:p w14:paraId="6DD5B141" w14:textId="77777777" w:rsidR="00173C76" w:rsidRDefault="00173C76" w:rsidP="00173C76">
      <w:pPr>
        <w:pStyle w:val="c3"/>
        <w:numPr>
          <w:ilvl w:val="0"/>
          <w:numId w:val="10"/>
        </w:numPr>
        <w:ind w:left="5040"/>
        <w:rPr>
          <w:rFonts w:ascii="Arial" w:hAnsi="Arial" w:cs="Arial"/>
          <w:color w:val="000000"/>
          <w:sz w:val="22"/>
          <w:szCs w:val="22"/>
        </w:rPr>
      </w:pPr>
      <w:r>
        <w:rPr>
          <w:rStyle w:val="c0"/>
          <w:rFonts w:ascii="Proxima Nova" w:hAnsi="Proxima Nova" w:cs="Arial"/>
          <w:color w:val="000000"/>
        </w:rPr>
        <w:t xml:space="preserve">While waiting for capacity to open, a CME (the CDDP or another local Brokerage) will provide case management services as usual until capacity </w:t>
      </w:r>
      <w:proofErr w:type="gramStart"/>
      <w:r>
        <w:rPr>
          <w:rStyle w:val="c0"/>
          <w:rFonts w:ascii="Proxima Nova" w:hAnsi="Proxima Nova" w:cs="Arial"/>
          <w:color w:val="000000"/>
        </w:rPr>
        <w:t>opens up</w:t>
      </w:r>
      <w:proofErr w:type="gramEnd"/>
      <w:r>
        <w:rPr>
          <w:rStyle w:val="c0"/>
          <w:rFonts w:ascii="Proxima Nova" w:hAnsi="Proxima Nova" w:cs="Arial"/>
          <w:color w:val="000000"/>
        </w:rPr>
        <w:t xml:space="preserve"> and the selected Brokerage is able to accept them.</w:t>
      </w:r>
    </w:p>
    <w:p w14:paraId="39FDEABF" w14:textId="77777777" w:rsidR="00173C76" w:rsidRDefault="00173C76" w:rsidP="00173C76">
      <w:pPr>
        <w:pStyle w:val="c3"/>
        <w:numPr>
          <w:ilvl w:val="0"/>
          <w:numId w:val="10"/>
        </w:numPr>
        <w:ind w:left="5040"/>
        <w:rPr>
          <w:rFonts w:ascii="Arial" w:hAnsi="Arial" w:cs="Arial"/>
          <w:color w:val="000000"/>
          <w:sz w:val="22"/>
          <w:szCs w:val="22"/>
        </w:rPr>
      </w:pPr>
      <w:r>
        <w:rPr>
          <w:rStyle w:val="c0"/>
          <w:rFonts w:ascii="Proxima Nova" w:hAnsi="Proxima Nova" w:cs="Arial"/>
          <w:color w:val="000000"/>
        </w:rPr>
        <w:t>The requested Brokerage should notify the serving CME within 5 business days of capacity opening to initiate transfer.</w:t>
      </w:r>
    </w:p>
    <w:p w14:paraId="5D237D06" w14:textId="77777777" w:rsidR="00173C76" w:rsidRDefault="00173C76" w:rsidP="00173C76">
      <w:pPr>
        <w:pStyle w:val="c3"/>
        <w:numPr>
          <w:ilvl w:val="0"/>
          <w:numId w:val="11"/>
        </w:numPr>
        <w:ind w:left="1440"/>
        <w:rPr>
          <w:rFonts w:ascii="Arial" w:hAnsi="Arial" w:cs="Arial"/>
          <w:color w:val="000000"/>
          <w:sz w:val="22"/>
          <w:szCs w:val="22"/>
        </w:rPr>
      </w:pPr>
      <w:r>
        <w:rPr>
          <w:rStyle w:val="c5"/>
          <w:rFonts w:ascii="Proxima Nova" w:hAnsi="Proxima Nova" w:cs="Arial"/>
          <w:b/>
          <w:bCs/>
          <w:color w:val="000000"/>
        </w:rPr>
        <w:t xml:space="preserve">Choice Advising, Children Aging </w:t>
      </w:r>
      <w:proofErr w:type="gramStart"/>
      <w:r>
        <w:rPr>
          <w:rStyle w:val="c5"/>
          <w:rFonts w:ascii="Proxima Nova" w:hAnsi="Proxima Nova" w:cs="Arial"/>
          <w:b/>
          <w:bCs/>
          <w:color w:val="000000"/>
        </w:rPr>
        <w:t>Into</w:t>
      </w:r>
      <w:proofErr w:type="gramEnd"/>
      <w:r>
        <w:rPr>
          <w:rStyle w:val="c5"/>
          <w:rFonts w:ascii="Proxima Nova" w:hAnsi="Proxima Nova" w:cs="Arial"/>
          <w:b/>
          <w:bCs/>
          <w:color w:val="000000"/>
        </w:rPr>
        <w:t xml:space="preserve"> Adult In-Home Services</w:t>
      </w:r>
    </w:p>
    <w:p w14:paraId="35802EA4" w14:textId="77777777" w:rsidR="00173C76" w:rsidRDefault="00173C76" w:rsidP="00173C76">
      <w:pPr>
        <w:pStyle w:val="c3"/>
        <w:numPr>
          <w:ilvl w:val="0"/>
          <w:numId w:val="12"/>
        </w:numPr>
        <w:ind w:left="2160"/>
        <w:rPr>
          <w:rFonts w:ascii="Arial" w:hAnsi="Arial" w:cs="Arial"/>
          <w:color w:val="000000"/>
          <w:sz w:val="22"/>
          <w:szCs w:val="22"/>
        </w:rPr>
      </w:pPr>
      <w:r>
        <w:rPr>
          <w:rStyle w:val="c0"/>
          <w:rFonts w:ascii="Proxima Nova" w:hAnsi="Proxima Nova" w:cs="Arial"/>
          <w:color w:val="000000"/>
        </w:rPr>
        <w:t>Starting at age 16, a person aging into adult services will be provided information about service and case management options, advised of the CMEs serving their geographic location, and encouraged to conduct their own research to arrive at their CME selection.</w:t>
      </w:r>
    </w:p>
    <w:p w14:paraId="118A0CCB" w14:textId="77777777" w:rsidR="00173C76" w:rsidRDefault="00173C76" w:rsidP="00173C76">
      <w:pPr>
        <w:pStyle w:val="c1"/>
        <w:numPr>
          <w:ilvl w:val="0"/>
          <w:numId w:val="13"/>
        </w:numPr>
        <w:ind w:left="2880"/>
        <w:rPr>
          <w:rFonts w:ascii="Arial" w:hAnsi="Arial" w:cs="Arial"/>
          <w:color w:val="000000"/>
          <w:sz w:val="22"/>
          <w:szCs w:val="22"/>
        </w:rPr>
      </w:pPr>
      <w:r>
        <w:rPr>
          <w:rStyle w:val="c0"/>
          <w:rFonts w:ascii="Proxima Nova" w:hAnsi="Proxima Nova" w:cs="Arial"/>
          <w:color w:val="000000"/>
        </w:rPr>
        <w:t xml:space="preserve">During the year leading up to the 18th birthday, a person will be </w:t>
      </w:r>
      <w:proofErr w:type="gramStart"/>
      <w:r>
        <w:rPr>
          <w:rStyle w:val="c0"/>
          <w:rFonts w:ascii="Proxima Nova" w:hAnsi="Proxima Nova" w:cs="Arial"/>
          <w:color w:val="000000"/>
        </w:rPr>
        <w:t>provided</w:t>
      </w:r>
      <w:proofErr w:type="gramEnd"/>
      <w:r>
        <w:rPr>
          <w:rStyle w:val="c0"/>
          <w:rFonts w:ascii="Proxima Nova" w:hAnsi="Proxima Nova" w:cs="Arial"/>
          <w:color w:val="000000"/>
        </w:rPr>
        <w:t xml:space="preserve"> the opportunity to meet with the CMEs in their catchment area. This process will be worked out with local agreements.</w:t>
      </w:r>
    </w:p>
    <w:p w14:paraId="78197899" w14:textId="77777777" w:rsidR="00173C76" w:rsidRDefault="00173C76" w:rsidP="00173C76">
      <w:pPr>
        <w:pStyle w:val="c3"/>
        <w:numPr>
          <w:ilvl w:val="0"/>
          <w:numId w:val="14"/>
        </w:numPr>
        <w:ind w:left="2160"/>
        <w:rPr>
          <w:rFonts w:ascii="Arial" w:hAnsi="Arial" w:cs="Arial"/>
          <w:color w:val="000000"/>
          <w:sz w:val="22"/>
          <w:szCs w:val="22"/>
        </w:rPr>
      </w:pPr>
      <w:r>
        <w:rPr>
          <w:rStyle w:val="c0"/>
          <w:rFonts w:ascii="Proxima Nova" w:hAnsi="Proxima Nova" w:cs="Arial"/>
          <w:color w:val="000000"/>
        </w:rPr>
        <w:t>If a person does not indicate a preference of CME operating in their area, CDDP staff will rotate default enrollment for CM services from amongst the local CMEs. (i.e., alternating enrollments with the Brokerage where there is only one, and rotating among all CMEs where there are more than two).</w:t>
      </w:r>
    </w:p>
    <w:p w14:paraId="04346FE9" w14:textId="77777777" w:rsidR="00173C76" w:rsidRDefault="00173C76" w:rsidP="00173C76">
      <w:pPr>
        <w:pStyle w:val="c3"/>
        <w:numPr>
          <w:ilvl w:val="0"/>
          <w:numId w:val="14"/>
        </w:numPr>
        <w:ind w:left="2160"/>
        <w:rPr>
          <w:rFonts w:ascii="Arial" w:hAnsi="Arial" w:cs="Arial"/>
          <w:color w:val="000000"/>
          <w:sz w:val="22"/>
          <w:szCs w:val="22"/>
        </w:rPr>
      </w:pPr>
      <w:r>
        <w:rPr>
          <w:rStyle w:val="c0"/>
          <w:rFonts w:ascii="Proxima Nova" w:hAnsi="Proxima Nova" w:cs="Arial"/>
          <w:color w:val="000000"/>
        </w:rPr>
        <w:t>If a person opts to work with a Brokerage that does not currently have capacity, the CDDP notifies that Brokerage, and connects them to the individual. A CME (the CDDP or another local Brokerage) will provide case management services as usual until capacity opens. The preferred Brokerage should notify the serving CME within 5 business days of capacity opening to initiate transfer.</w:t>
      </w:r>
    </w:p>
    <w:p w14:paraId="6AB5E787" w14:textId="77777777" w:rsidR="00173C76" w:rsidRDefault="00173C76" w:rsidP="00173C76">
      <w:pPr>
        <w:pStyle w:val="c3"/>
        <w:numPr>
          <w:ilvl w:val="0"/>
          <w:numId w:val="15"/>
        </w:numPr>
        <w:ind w:left="1440"/>
        <w:rPr>
          <w:rFonts w:ascii="Arial" w:hAnsi="Arial" w:cs="Arial"/>
          <w:color w:val="000000"/>
          <w:sz w:val="22"/>
          <w:szCs w:val="22"/>
        </w:rPr>
      </w:pPr>
      <w:r>
        <w:rPr>
          <w:rStyle w:val="c16"/>
          <w:rFonts w:ascii="Proxima Nova" w:hAnsi="Proxima Nova" w:cs="Arial"/>
          <w:b/>
          <w:bCs/>
          <w:color w:val="000000"/>
        </w:rPr>
        <w:t>Choice Transfers from CME to CME</w:t>
      </w:r>
    </w:p>
    <w:p w14:paraId="5F80147C" w14:textId="77777777" w:rsidR="00173C76" w:rsidRDefault="00173C76" w:rsidP="00173C76">
      <w:pPr>
        <w:pStyle w:val="c3"/>
        <w:numPr>
          <w:ilvl w:val="0"/>
          <w:numId w:val="16"/>
        </w:numPr>
        <w:ind w:left="2160"/>
        <w:rPr>
          <w:rFonts w:ascii="Arial" w:hAnsi="Arial" w:cs="Arial"/>
          <w:color w:val="000000"/>
          <w:sz w:val="22"/>
          <w:szCs w:val="22"/>
        </w:rPr>
      </w:pPr>
      <w:r>
        <w:rPr>
          <w:rStyle w:val="c0"/>
          <w:rFonts w:ascii="Proxima Nova" w:hAnsi="Proxima Nova" w:cs="Arial"/>
          <w:color w:val="000000"/>
        </w:rPr>
        <w:t>Choice moves must be honored. The current CME should notify the chosen CME within 5 business days of the choice conversation.</w:t>
      </w:r>
    </w:p>
    <w:p w14:paraId="4F9ECF35" w14:textId="77777777" w:rsidR="00173C76" w:rsidRDefault="00173C76" w:rsidP="00173C76">
      <w:pPr>
        <w:pStyle w:val="c3"/>
        <w:numPr>
          <w:ilvl w:val="0"/>
          <w:numId w:val="16"/>
        </w:numPr>
        <w:ind w:left="2160"/>
        <w:rPr>
          <w:rFonts w:ascii="Arial" w:hAnsi="Arial" w:cs="Arial"/>
          <w:color w:val="000000"/>
          <w:sz w:val="22"/>
          <w:szCs w:val="22"/>
        </w:rPr>
      </w:pPr>
      <w:r>
        <w:rPr>
          <w:rStyle w:val="c0"/>
          <w:rFonts w:ascii="Proxima Nova" w:hAnsi="Proxima Nova" w:cs="Arial"/>
          <w:color w:val="000000"/>
        </w:rPr>
        <w:t xml:space="preserve">The sending and receiving CME can negotiate a </w:t>
      </w:r>
      <w:proofErr w:type="gramStart"/>
      <w:r>
        <w:rPr>
          <w:rStyle w:val="c0"/>
          <w:rFonts w:ascii="Proxima Nova" w:hAnsi="Proxima Nova" w:cs="Arial"/>
          <w:color w:val="000000"/>
        </w:rPr>
        <w:t>time-frame</w:t>
      </w:r>
      <w:proofErr w:type="gramEnd"/>
      <w:r>
        <w:rPr>
          <w:rStyle w:val="c0"/>
          <w:rFonts w:ascii="Proxima Nova" w:hAnsi="Proxima Nova" w:cs="Arial"/>
          <w:color w:val="000000"/>
        </w:rPr>
        <w:t xml:space="preserve"> for transfer. The goals for this timing should be continuity and quality </w:t>
      </w:r>
      <w:r>
        <w:rPr>
          <w:rStyle w:val="c0"/>
          <w:rFonts w:ascii="Proxima Nova" w:hAnsi="Proxima Nova" w:cs="Arial"/>
          <w:color w:val="000000"/>
        </w:rPr>
        <w:lastRenderedPageBreak/>
        <w:t>of services for the person. CMEs that have established local practices are responsible for proactively conveying those to other CMEs. Considerations include:</w:t>
      </w:r>
    </w:p>
    <w:p w14:paraId="1A800F41" w14:textId="77777777" w:rsidR="00173C76" w:rsidRDefault="00173C76" w:rsidP="00173C76">
      <w:pPr>
        <w:pStyle w:val="c1"/>
        <w:numPr>
          <w:ilvl w:val="0"/>
          <w:numId w:val="17"/>
        </w:numPr>
        <w:ind w:left="2880"/>
        <w:rPr>
          <w:rFonts w:ascii="Arial" w:hAnsi="Arial" w:cs="Arial"/>
          <w:color w:val="000000"/>
          <w:sz w:val="22"/>
          <w:szCs w:val="22"/>
        </w:rPr>
      </w:pPr>
      <w:r>
        <w:rPr>
          <w:rStyle w:val="c0"/>
          <w:rFonts w:ascii="Proxima Nova" w:hAnsi="Proxima Nova" w:cs="Arial"/>
          <w:color w:val="000000"/>
        </w:rPr>
        <w:t>Honoring local practices and process requests when possible</w:t>
      </w:r>
    </w:p>
    <w:p w14:paraId="3DD5F2C7" w14:textId="77777777" w:rsidR="00173C76" w:rsidRDefault="00173C76" w:rsidP="00173C76">
      <w:pPr>
        <w:pStyle w:val="c1"/>
        <w:numPr>
          <w:ilvl w:val="0"/>
          <w:numId w:val="17"/>
        </w:numPr>
        <w:ind w:left="2880"/>
        <w:rPr>
          <w:rFonts w:ascii="Arial" w:hAnsi="Arial" w:cs="Arial"/>
          <w:color w:val="000000"/>
          <w:sz w:val="22"/>
          <w:szCs w:val="22"/>
        </w:rPr>
      </w:pPr>
      <w:r>
        <w:rPr>
          <w:rStyle w:val="c0"/>
          <w:rFonts w:ascii="Proxima Nova" w:hAnsi="Proxima Nova" w:cs="Arial"/>
          <w:color w:val="000000"/>
        </w:rPr>
        <w:t>Deadlines for ONA and ISP renewal</w:t>
      </w:r>
    </w:p>
    <w:p w14:paraId="53CF7EAE" w14:textId="77777777" w:rsidR="00173C76" w:rsidRDefault="00173C76" w:rsidP="00173C76">
      <w:pPr>
        <w:pStyle w:val="c1"/>
        <w:numPr>
          <w:ilvl w:val="0"/>
          <w:numId w:val="17"/>
        </w:numPr>
        <w:ind w:left="2880"/>
        <w:rPr>
          <w:rFonts w:ascii="Arial" w:hAnsi="Arial" w:cs="Arial"/>
          <w:color w:val="000000"/>
          <w:sz w:val="22"/>
          <w:szCs w:val="22"/>
        </w:rPr>
      </w:pPr>
      <w:r>
        <w:rPr>
          <w:rStyle w:val="c0"/>
          <w:rFonts w:ascii="Proxima Nova" w:hAnsi="Proxima Nova" w:cs="Arial"/>
          <w:color w:val="000000"/>
        </w:rPr>
        <w:t>Time required to move active PSWs</w:t>
      </w:r>
    </w:p>
    <w:p w14:paraId="5A3BB080" w14:textId="77777777" w:rsidR="00173C76" w:rsidRDefault="00173C76" w:rsidP="00173C76">
      <w:pPr>
        <w:pStyle w:val="c1"/>
        <w:numPr>
          <w:ilvl w:val="0"/>
          <w:numId w:val="17"/>
        </w:numPr>
        <w:ind w:left="2880"/>
        <w:rPr>
          <w:rFonts w:ascii="Arial" w:hAnsi="Arial" w:cs="Arial"/>
          <w:color w:val="000000"/>
          <w:sz w:val="22"/>
          <w:szCs w:val="22"/>
        </w:rPr>
      </w:pPr>
      <w:r>
        <w:rPr>
          <w:rStyle w:val="c0"/>
          <w:rFonts w:ascii="Proxima Nova" w:hAnsi="Proxima Nova" w:cs="Arial"/>
          <w:color w:val="000000"/>
        </w:rPr>
        <w:t>Status of other services in progress, and their continuity</w:t>
      </w:r>
    </w:p>
    <w:p w14:paraId="3EEF0FCB" w14:textId="77777777" w:rsidR="00173C76" w:rsidRDefault="00173C76" w:rsidP="00173C76">
      <w:pPr>
        <w:pStyle w:val="c1"/>
        <w:numPr>
          <w:ilvl w:val="0"/>
          <w:numId w:val="17"/>
        </w:numPr>
        <w:ind w:left="2880"/>
        <w:rPr>
          <w:rFonts w:ascii="Arial" w:hAnsi="Arial" w:cs="Arial"/>
          <w:color w:val="000000"/>
          <w:sz w:val="22"/>
          <w:szCs w:val="22"/>
        </w:rPr>
      </w:pPr>
      <w:r>
        <w:rPr>
          <w:rStyle w:val="c0"/>
          <w:rFonts w:ascii="Proxima Nova" w:hAnsi="Proxima Nova" w:cs="Arial"/>
          <w:color w:val="000000"/>
        </w:rPr>
        <w:t>Basic QA measures</w:t>
      </w:r>
    </w:p>
    <w:p w14:paraId="743DAACC" w14:textId="77777777" w:rsidR="00173C76" w:rsidRDefault="00173C76" w:rsidP="00173C76">
      <w:pPr>
        <w:pStyle w:val="c3"/>
        <w:numPr>
          <w:ilvl w:val="0"/>
          <w:numId w:val="18"/>
        </w:numPr>
        <w:ind w:left="1440"/>
        <w:rPr>
          <w:rFonts w:ascii="Arial" w:hAnsi="Arial" w:cs="Arial"/>
          <w:color w:val="000000"/>
          <w:sz w:val="22"/>
          <w:szCs w:val="22"/>
        </w:rPr>
      </w:pPr>
      <w:r>
        <w:rPr>
          <w:rStyle w:val="c5"/>
          <w:rFonts w:ascii="Proxima Nova" w:hAnsi="Proxima Nova" w:cs="Arial"/>
          <w:b/>
          <w:bCs/>
          <w:color w:val="000000"/>
        </w:rPr>
        <w:t>File Transfers</w:t>
      </w:r>
    </w:p>
    <w:p w14:paraId="7CCE3BF5" w14:textId="77777777" w:rsidR="00173C76" w:rsidRDefault="00173C76" w:rsidP="00173C76">
      <w:pPr>
        <w:pStyle w:val="c3"/>
        <w:numPr>
          <w:ilvl w:val="0"/>
          <w:numId w:val="19"/>
        </w:numPr>
        <w:ind w:left="2160"/>
        <w:rPr>
          <w:rFonts w:ascii="Arial" w:hAnsi="Arial" w:cs="Arial"/>
          <w:color w:val="000000"/>
          <w:sz w:val="22"/>
          <w:szCs w:val="22"/>
        </w:rPr>
      </w:pPr>
      <w:r>
        <w:rPr>
          <w:rStyle w:val="c0"/>
          <w:rFonts w:ascii="Proxima Nova" w:hAnsi="Proxima Nova" w:cs="Arial"/>
          <w:color w:val="000000"/>
        </w:rPr>
        <w:t>An ROI is not required to send customer information from CME to CME.</w:t>
      </w:r>
    </w:p>
    <w:p w14:paraId="0EDF1CEB" w14:textId="77777777" w:rsidR="00173C76" w:rsidRDefault="00173C76" w:rsidP="00173C76">
      <w:pPr>
        <w:pStyle w:val="c3"/>
        <w:numPr>
          <w:ilvl w:val="0"/>
          <w:numId w:val="19"/>
        </w:numPr>
        <w:ind w:left="2160"/>
        <w:rPr>
          <w:rFonts w:ascii="Arial" w:hAnsi="Arial" w:cs="Arial"/>
          <w:color w:val="000000"/>
          <w:sz w:val="22"/>
          <w:szCs w:val="22"/>
        </w:rPr>
      </w:pPr>
      <w:r>
        <w:rPr>
          <w:rStyle w:val="c0"/>
          <w:rFonts w:ascii="Proxima Nova" w:hAnsi="Proxima Nova" w:cs="Arial"/>
          <w:color w:val="000000"/>
        </w:rPr>
        <w:t xml:space="preserve">Timelines for sending file documents after </w:t>
      </w:r>
      <w:proofErr w:type="gramStart"/>
      <w:r>
        <w:rPr>
          <w:rStyle w:val="c0"/>
          <w:rFonts w:ascii="Proxima Nova" w:hAnsi="Proxima Nova" w:cs="Arial"/>
          <w:color w:val="000000"/>
        </w:rPr>
        <w:t>an enrollment</w:t>
      </w:r>
      <w:proofErr w:type="gramEnd"/>
      <w:r>
        <w:rPr>
          <w:rStyle w:val="c0"/>
          <w:rFonts w:ascii="Proxima Nova" w:hAnsi="Proxima Nova" w:cs="Arial"/>
          <w:color w:val="000000"/>
        </w:rPr>
        <w:t xml:space="preserve"> is agreed upon should be a part of the </w:t>
      </w:r>
      <w:proofErr w:type="gramStart"/>
      <w:r>
        <w:rPr>
          <w:rStyle w:val="c0"/>
          <w:rFonts w:ascii="Proxima Nova" w:hAnsi="Proxima Nova" w:cs="Arial"/>
          <w:color w:val="000000"/>
        </w:rPr>
        <w:t>CME to CME</w:t>
      </w:r>
      <w:proofErr w:type="gramEnd"/>
      <w:r>
        <w:rPr>
          <w:rStyle w:val="c0"/>
          <w:rFonts w:ascii="Proxima Nova" w:hAnsi="Proxima Nova" w:cs="Arial"/>
          <w:color w:val="000000"/>
        </w:rPr>
        <w:t xml:space="preserve"> negotiation process. Best practice is to consider a file complete that does not include documents expiring within 30 calendar days of transfer effective date.</w:t>
      </w:r>
    </w:p>
    <w:p w14:paraId="2065210A" w14:textId="77777777" w:rsidR="00173C76" w:rsidRDefault="00173C76" w:rsidP="00173C76">
      <w:pPr>
        <w:pStyle w:val="c3"/>
        <w:numPr>
          <w:ilvl w:val="0"/>
          <w:numId w:val="19"/>
        </w:numPr>
        <w:ind w:left="2160"/>
        <w:rPr>
          <w:rFonts w:ascii="Arial" w:hAnsi="Arial" w:cs="Arial"/>
          <w:color w:val="000000"/>
          <w:sz w:val="22"/>
          <w:szCs w:val="22"/>
        </w:rPr>
      </w:pPr>
      <w:r>
        <w:rPr>
          <w:rStyle w:val="c0"/>
          <w:rFonts w:ascii="Proxima Nova" w:hAnsi="Proxima Nova" w:cs="Arial"/>
          <w:color w:val="000000"/>
        </w:rPr>
        <w:t>These are the essential documents that must be received prior to finalizing an enrollment date.</w:t>
      </w:r>
    </w:p>
    <w:p w14:paraId="62B142EA" w14:textId="77777777" w:rsidR="00173C76" w:rsidRDefault="00173C76" w:rsidP="00173C76">
      <w:pPr>
        <w:pStyle w:val="c1"/>
        <w:numPr>
          <w:ilvl w:val="0"/>
          <w:numId w:val="20"/>
        </w:numPr>
        <w:ind w:left="2880"/>
        <w:rPr>
          <w:rFonts w:ascii="Arial" w:hAnsi="Arial" w:cs="Arial"/>
          <w:color w:val="000000"/>
          <w:sz w:val="22"/>
          <w:szCs w:val="22"/>
        </w:rPr>
      </w:pPr>
      <w:r>
        <w:rPr>
          <w:rStyle w:val="c0"/>
          <w:rFonts w:ascii="Proxima Nova" w:hAnsi="Proxima Nova" w:cs="Arial"/>
          <w:color w:val="000000"/>
        </w:rPr>
        <w:t>Face sheet/</w:t>
      </w:r>
      <w:proofErr w:type="gramStart"/>
      <w:r>
        <w:rPr>
          <w:rStyle w:val="c0"/>
          <w:rFonts w:ascii="Proxima Nova" w:hAnsi="Proxima Nova" w:cs="Arial"/>
          <w:color w:val="000000"/>
        </w:rPr>
        <w:t>demographics;</w:t>
      </w:r>
      <w:proofErr w:type="gramEnd"/>
    </w:p>
    <w:p w14:paraId="4560F362" w14:textId="77777777" w:rsidR="00173C76" w:rsidRDefault="00173C76" w:rsidP="00173C76">
      <w:pPr>
        <w:pStyle w:val="c1"/>
        <w:numPr>
          <w:ilvl w:val="0"/>
          <w:numId w:val="20"/>
        </w:numPr>
        <w:ind w:left="2880"/>
        <w:rPr>
          <w:rFonts w:ascii="Arial" w:hAnsi="Arial" w:cs="Arial"/>
          <w:color w:val="000000"/>
          <w:sz w:val="22"/>
          <w:szCs w:val="22"/>
        </w:rPr>
      </w:pPr>
      <w:r>
        <w:rPr>
          <w:rStyle w:val="c0"/>
          <w:rFonts w:ascii="Proxima Nova" w:hAnsi="Proxima Nova" w:cs="Arial"/>
          <w:color w:val="000000"/>
        </w:rPr>
        <w:t xml:space="preserve">Progress notes from the last six </w:t>
      </w:r>
      <w:proofErr w:type="gramStart"/>
      <w:r>
        <w:rPr>
          <w:rStyle w:val="c0"/>
          <w:rFonts w:ascii="Proxima Nova" w:hAnsi="Proxima Nova" w:cs="Arial"/>
          <w:color w:val="000000"/>
        </w:rPr>
        <w:t>months;</w:t>
      </w:r>
      <w:proofErr w:type="gramEnd"/>
    </w:p>
    <w:p w14:paraId="3365D16A" w14:textId="77777777" w:rsidR="00173C76" w:rsidRDefault="00173C76" w:rsidP="00173C76">
      <w:pPr>
        <w:pStyle w:val="c1"/>
        <w:numPr>
          <w:ilvl w:val="0"/>
          <w:numId w:val="20"/>
        </w:numPr>
        <w:ind w:left="2880"/>
        <w:rPr>
          <w:rFonts w:ascii="Arial" w:hAnsi="Arial" w:cs="Arial"/>
          <w:color w:val="000000"/>
          <w:sz w:val="22"/>
          <w:szCs w:val="22"/>
        </w:rPr>
      </w:pPr>
      <w:r>
        <w:rPr>
          <w:rStyle w:val="c0"/>
          <w:rFonts w:ascii="Proxima Nova" w:hAnsi="Proxima Nova" w:cs="Arial"/>
          <w:color w:val="000000"/>
        </w:rPr>
        <w:t xml:space="preserve">Level of care form (if unavailable in </w:t>
      </w:r>
      <w:proofErr w:type="spellStart"/>
      <w:r>
        <w:rPr>
          <w:rStyle w:val="c0"/>
          <w:rFonts w:ascii="Proxima Nova" w:hAnsi="Proxima Nova" w:cs="Arial"/>
          <w:color w:val="000000"/>
        </w:rPr>
        <w:t>eXPRS</w:t>
      </w:r>
      <w:proofErr w:type="spellEnd"/>
      <w:r>
        <w:rPr>
          <w:rStyle w:val="c0"/>
          <w:rFonts w:ascii="Proxima Nova" w:hAnsi="Proxima Nova" w:cs="Arial"/>
          <w:color w:val="000000"/>
        </w:rPr>
        <w:t>)</w:t>
      </w:r>
    </w:p>
    <w:p w14:paraId="641FAF0A" w14:textId="77777777" w:rsidR="00173C76" w:rsidRDefault="00173C76" w:rsidP="00173C76">
      <w:pPr>
        <w:pStyle w:val="c1"/>
        <w:numPr>
          <w:ilvl w:val="0"/>
          <w:numId w:val="20"/>
        </w:numPr>
        <w:ind w:left="2880"/>
        <w:rPr>
          <w:rFonts w:ascii="Arial" w:hAnsi="Arial" w:cs="Arial"/>
          <w:color w:val="000000"/>
          <w:sz w:val="22"/>
          <w:szCs w:val="22"/>
        </w:rPr>
      </w:pPr>
      <w:r>
        <w:rPr>
          <w:rStyle w:val="c0"/>
          <w:rFonts w:ascii="Proxima Nova" w:hAnsi="Proxima Nova" w:cs="Arial"/>
          <w:color w:val="000000"/>
        </w:rPr>
        <w:t xml:space="preserve">Individual Support Plan (ISP) or Annual </w:t>
      </w:r>
      <w:proofErr w:type="gramStart"/>
      <w:r>
        <w:rPr>
          <w:rStyle w:val="c0"/>
          <w:rFonts w:ascii="Proxima Nova" w:hAnsi="Proxima Nova" w:cs="Arial"/>
          <w:color w:val="000000"/>
        </w:rPr>
        <w:t>Plan;</w:t>
      </w:r>
      <w:proofErr w:type="gramEnd"/>
    </w:p>
    <w:p w14:paraId="2E8B032D" w14:textId="77777777" w:rsidR="00173C76" w:rsidRDefault="00173C76" w:rsidP="00173C76">
      <w:pPr>
        <w:pStyle w:val="c1"/>
        <w:numPr>
          <w:ilvl w:val="0"/>
          <w:numId w:val="20"/>
        </w:numPr>
        <w:ind w:left="2880"/>
        <w:rPr>
          <w:rFonts w:ascii="Arial" w:hAnsi="Arial" w:cs="Arial"/>
          <w:color w:val="000000"/>
          <w:sz w:val="22"/>
          <w:szCs w:val="22"/>
        </w:rPr>
      </w:pPr>
      <w:r>
        <w:rPr>
          <w:rStyle w:val="c0"/>
          <w:rFonts w:ascii="Proxima Nova" w:hAnsi="Proxima Nova" w:cs="Arial"/>
          <w:color w:val="000000"/>
        </w:rPr>
        <w:t>ISP or Annual Plan supporting documents (including PCI, RIT and signed Service Agreements</w:t>
      </w:r>
      <w:proofErr w:type="gramStart"/>
      <w:r>
        <w:rPr>
          <w:rStyle w:val="c0"/>
          <w:rFonts w:ascii="Proxima Nova" w:hAnsi="Proxima Nova" w:cs="Arial"/>
          <w:color w:val="000000"/>
        </w:rPr>
        <w:t>);</w:t>
      </w:r>
      <w:proofErr w:type="gramEnd"/>
    </w:p>
    <w:p w14:paraId="2605A872" w14:textId="77777777" w:rsidR="00173C76" w:rsidRDefault="00173C76" w:rsidP="00173C76">
      <w:pPr>
        <w:pStyle w:val="c1"/>
        <w:numPr>
          <w:ilvl w:val="0"/>
          <w:numId w:val="20"/>
        </w:numPr>
        <w:ind w:left="2880"/>
        <w:rPr>
          <w:rFonts w:ascii="Arial" w:hAnsi="Arial" w:cs="Arial"/>
          <w:color w:val="000000"/>
          <w:sz w:val="22"/>
          <w:szCs w:val="22"/>
        </w:rPr>
      </w:pPr>
      <w:r>
        <w:rPr>
          <w:rStyle w:val="c0"/>
          <w:rFonts w:ascii="Proxima Nova" w:hAnsi="Proxima Nova" w:cs="Arial"/>
          <w:color w:val="000000"/>
        </w:rPr>
        <w:t>Print out of current Plan of Care</w:t>
      </w:r>
    </w:p>
    <w:p w14:paraId="421BE1C0" w14:textId="77777777" w:rsidR="00173C76" w:rsidRDefault="00173C76" w:rsidP="00173C76">
      <w:pPr>
        <w:pStyle w:val="c1"/>
        <w:numPr>
          <w:ilvl w:val="0"/>
          <w:numId w:val="20"/>
        </w:numPr>
        <w:ind w:left="2880"/>
        <w:rPr>
          <w:rFonts w:ascii="Arial" w:hAnsi="Arial" w:cs="Arial"/>
          <w:color w:val="000000"/>
          <w:sz w:val="22"/>
          <w:szCs w:val="22"/>
        </w:rPr>
      </w:pPr>
      <w:r>
        <w:rPr>
          <w:rStyle w:val="c0"/>
          <w:rFonts w:ascii="Proxima Nova" w:hAnsi="Proxima Nova" w:cs="Arial"/>
          <w:color w:val="000000"/>
        </w:rPr>
        <w:t xml:space="preserve">Functional needs assessment and any additional needs assessments and/or support </w:t>
      </w:r>
      <w:proofErr w:type="gramStart"/>
      <w:r>
        <w:rPr>
          <w:rStyle w:val="c0"/>
          <w:rFonts w:ascii="Proxima Nova" w:hAnsi="Proxima Nova" w:cs="Arial"/>
          <w:color w:val="000000"/>
        </w:rPr>
        <w:t>plans;</w:t>
      </w:r>
      <w:proofErr w:type="gramEnd"/>
    </w:p>
    <w:p w14:paraId="42B04F67" w14:textId="77777777" w:rsidR="00173C76" w:rsidRDefault="00173C76" w:rsidP="00173C76">
      <w:pPr>
        <w:pStyle w:val="c1"/>
        <w:numPr>
          <w:ilvl w:val="0"/>
          <w:numId w:val="20"/>
        </w:numPr>
        <w:ind w:left="2880"/>
        <w:rPr>
          <w:rFonts w:ascii="Arial" w:hAnsi="Arial" w:cs="Arial"/>
          <w:color w:val="000000"/>
          <w:sz w:val="22"/>
          <w:szCs w:val="22"/>
        </w:rPr>
      </w:pPr>
      <w:r>
        <w:rPr>
          <w:rStyle w:val="c0"/>
          <w:rFonts w:ascii="Proxima Nova" w:hAnsi="Proxima Nova" w:cs="Arial"/>
          <w:color w:val="000000"/>
        </w:rPr>
        <w:t xml:space="preserve">Behavioral support plan, protocols and/or safety </w:t>
      </w:r>
      <w:proofErr w:type="gramStart"/>
      <w:r>
        <w:rPr>
          <w:rStyle w:val="c0"/>
          <w:rFonts w:ascii="Proxima Nova" w:hAnsi="Proxima Nova" w:cs="Arial"/>
          <w:color w:val="000000"/>
        </w:rPr>
        <w:t>plans;</w:t>
      </w:r>
      <w:proofErr w:type="gramEnd"/>
    </w:p>
    <w:p w14:paraId="00E2F54B" w14:textId="77777777" w:rsidR="00173C76" w:rsidRDefault="00173C76" w:rsidP="00173C76">
      <w:pPr>
        <w:pStyle w:val="c1"/>
        <w:numPr>
          <w:ilvl w:val="0"/>
          <w:numId w:val="20"/>
        </w:numPr>
        <w:ind w:left="2880"/>
        <w:rPr>
          <w:rFonts w:ascii="Arial" w:hAnsi="Arial" w:cs="Arial"/>
          <w:color w:val="000000"/>
          <w:sz w:val="22"/>
          <w:szCs w:val="22"/>
        </w:rPr>
      </w:pPr>
      <w:r>
        <w:rPr>
          <w:rStyle w:val="c0"/>
          <w:rFonts w:ascii="Proxima Nova" w:hAnsi="Proxima Nova" w:cs="Arial"/>
          <w:color w:val="000000"/>
        </w:rPr>
        <w:t xml:space="preserve">Employment-related </w:t>
      </w:r>
      <w:proofErr w:type="gramStart"/>
      <w:r>
        <w:rPr>
          <w:rStyle w:val="c0"/>
          <w:rFonts w:ascii="Proxima Nova" w:hAnsi="Proxima Nova" w:cs="Arial"/>
          <w:color w:val="000000"/>
        </w:rPr>
        <w:t>documents;</w:t>
      </w:r>
      <w:proofErr w:type="gramEnd"/>
    </w:p>
    <w:p w14:paraId="1DE8EDAE" w14:textId="77777777" w:rsidR="00173C76" w:rsidRDefault="00173C76" w:rsidP="00173C76">
      <w:pPr>
        <w:pStyle w:val="c1"/>
        <w:numPr>
          <w:ilvl w:val="0"/>
          <w:numId w:val="20"/>
        </w:numPr>
        <w:ind w:left="2880"/>
        <w:rPr>
          <w:rFonts w:ascii="Arial" w:hAnsi="Arial" w:cs="Arial"/>
          <w:color w:val="000000"/>
          <w:sz w:val="22"/>
          <w:szCs w:val="22"/>
        </w:rPr>
      </w:pPr>
      <w:r>
        <w:rPr>
          <w:rStyle w:val="c0"/>
          <w:rFonts w:ascii="Proxima Nova" w:hAnsi="Proxima Nova" w:cs="Arial"/>
          <w:color w:val="000000"/>
        </w:rPr>
        <w:t xml:space="preserve">Fiscal intermediary </w:t>
      </w:r>
      <w:proofErr w:type="gramStart"/>
      <w:r>
        <w:rPr>
          <w:rStyle w:val="c0"/>
          <w:rFonts w:ascii="Proxima Nova" w:hAnsi="Proxima Nova" w:cs="Arial"/>
          <w:color w:val="000000"/>
        </w:rPr>
        <w:t>forms;</w:t>
      </w:r>
      <w:proofErr w:type="gramEnd"/>
    </w:p>
    <w:p w14:paraId="0BF2DEDE" w14:textId="77777777" w:rsidR="00173C76" w:rsidRDefault="00173C76" w:rsidP="00173C76">
      <w:pPr>
        <w:pStyle w:val="c1"/>
        <w:numPr>
          <w:ilvl w:val="0"/>
          <w:numId w:val="20"/>
        </w:numPr>
        <w:ind w:left="2880"/>
        <w:rPr>
          <w:rFonts w:ascii="Arial" w:hAnsi="Arial" w:cs="Arial"/>
          <w:color w:val="000000"/>
          <w:sz w:val="22"/>
          <w:szCs w:val="22"/>
        </w:rPr>
      </w:pPr>
      <w:r>
        <w:rPr>
          <w:rStyle w:val="c0"/>
          <w:rFonts w:ascii="Proxima Nova" w:hAnsi="Proxima Nova" w:cs="Arial"/>
          <w:color w:val="000000"/>
        </w:rPr>
        <w:t>Request for Eligibility Determination (form 0552</w:t>
      </w:r>
      <w:proofErr w:type="gramStart"/>
      <w:r>
        <w:rPr>
          <w:rStyle w:val="c0"/>
          <w:rFonts w:ascii="Proxima Nova" w:hAnsi="Proxima Nova" w:cs="Arial"/>
          <w:color w:val="000000"/>
        </w:rPr>
        <w:t>);</w:t>
      </w:r>
      <w:proofErr w:type="gramEnd"/>
    </w:p>
    <w:p w14:paraId="7F5CA188" w14:textId="77777777" w:rsidR="00173C76" w:rsidRDefault="00173C76" w:rsidP="00173C76">
      <w:pPr>
        <w:pStyle w:val="c1"/>
        <w:numPr>
          <w:ilvl w:val="0"/>
          <w:numId w:val="20"/>
        </w:numPr>
        <w:ind w:left="2880"/>
        <w:rPr>
          <w:rFonts w:ascii="Arial" w:hAnsi="Arial" w:cs="Arial"/>
          <w:color w:val="000000"/>
          <w:sz w:val="22"/>
          <w:szCs w:val="22"/>
        </w:rPr>
      </w:pPr>
      <w:r>
        <w:rPr>
          <w:rStyle w:val="c0"/>
          <w:rFonts w:ascii="Proxima Nova" w:hAnsi="Proxima Nova" w:cs="Arial"/>
          <w:color w:val="000000"/>
        </w:rPr>
        <w:t xml:space="preserve">Statement of an eligibility </w:t>
      </w:r>
      <w:proofErr w:type="gramStart"/>
      <w:r>
        <w:rPr>
          <w:rStyle w:val="c0"/>
          <w:rFonts w:ascii="Proxima Nova" w:hAnsi="Proxima Nova" w:cs="Arial"/>
          <w:color w:val="000000"/>
        </w:rPr>
        <w:t>determination;</w:t>
      </w:r>
      <w:proofErr w:type="gramEnd"/>
    </w:p>
    <w:p w14:paraId="1FADCD6A" w14:textId="77777777" w:rsidR="00173C76" w:rsidRDefault="00173C76" w:rsidP="00173C76">
      <w:pPr>
        <w:pStyle w:val="c1"/>
        <w:numPr>
          <w:ilvl w:val="0"/>
          <w:numId w:val="20"/>
        </w:numPr>
        <w:ind w:left="2880"/>
        <w:rPr>
          <w:rFonts w:ascii="Arial" w:hAnsi="Arial" w:cs="Arial"/>
          <w:color w:val="000000"/>
          <w:sz w:val="22"/>
          <w:szCs w:val="22"/>
        </w:rPr>
      </w:pPr>
      <w:r>
        <w:rPr>
          <w:rStyle w:val="c0"/>
          <w:rFonts w:ascii="Proxima Nova" w:hAnsi="Proxima Nova" w:cs="Arial"/>
          <w:color w:val="000000"/>
        </w:rPr>
        <w:t xml:space="preserve">Notification of eligibility </w:t>
      </w:r>
      <w:proofErr w:type="gramStart"/>
      <w:r>
        <w:rPr>
          <w:rStyle w:val="c0"/>
          <w:rFonts w:ascii="Proxima Nova" w:hAnsi="Proxima Nova" w:cs="Arial"/>
          <w:color w:val="000000"/>
        </w:rPr>
        <w:t>determination;</w:t>
      </w:r>
      <w:proofErr w:type="gramEnd"/>
    </w:p>
    <w:p w14:paraId="69AE260F" w14:textId="77777777" w:rsidR="00173C76" w:rsidRDefault="00173C76" w:rsidP="00173C76">
      <w:pPr>
        <w:pStyle w:val="c1"/>
        <w:numPr>
          <w:ilvl w:val="0"/>
          <w:numId w:val="20"/>
        </w:numPr>
        <w:ind w:left="2880"/>
        <w:rPr>
          <w:rFonts w:ascii="Arial" w:hAnsi="Arial" w:cs="Arial"/>
          <w:color w:val="000000"/>
          <w:sz w:val="22"/>
          <w:szCs w:val="22"/>
        </w:rPr>
      </w:pPr>
      <w:r>
        <w:rPr>
          <w:rStyle w:val="c0"/>
          <w:rFonts w:ascii="Proxima Nova" w:hAnsi="Proxima Nova" w:cs="Arial"/>
          <w:color w:val="000000"/>
        </w:rPr>
        <w:t>Evaluations and assessments supporting eligibility.</w:t>
      </w:r>
    </w:p>
    <w:p w14:paraId="58F70363" w14:textId="77777777" w:rsidR="00173C76" w:rsidRDefault="00173C76" w:rsidP="00173C76">
      <w:pPr>
        <w:pStyle w:val="c9"/>
        <w:spacing w:before="0" w:beforeAutospacing="0" w:after="0" w:afterAutospacing="0"/>
        <w:jc w:val="right"/>
        <w:rPr>
          <w:rFonts w:ascii="Arial" w:hAnsi="Arial" w:cs="Arial"/>
          <w:color w:val="000000"/>
          <w:sz w:val="22"/>
          <w:szCs w:val="22"/>
        </w:rPr>
      </w:pPr>
      <w:r>
        <w:rPr>
          <w:rFonts w:ascii="Arial" w:hAnsi="Arial" w:cs="Arial"/>
          <w:color w:val="000000"/>
          <w:sz w:val="22"/>
          <w:szCs w:val="22"/>
        </w:rPr>
        <w:t> </w:t>
      </w:r>
      <w:r>
        <w:rPr>
          <w:rStyle w:val="c10"/>
          <w:rFonts w:ascii="Proxima Nova" w:hAnsi="Proxima Nova" w:cs="Arial"/>
          <w:color w:val="000000"/>
          <w:sz w:val="22"/>
          <w:szCs w:val="22"/>
        </w:rPr>
        <w:t>  CME MOU: Choice Advising and Enrollment, created in October 2022   |  </w:t>
      </w:r>
    </w:p>
    <w:p w14:paraId="3F5F7FD7" w14:textId="77777777" w:rsidR="00124EA4" w:rsidRDefault="00124EA4"/>
    <w:sectPr w:rsidR="00124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263"/>
    <w:multiLevelType w:val="multilevel"/>
    <w:tmpl w:val="63C4F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84C90"/>
    <w:multiLevelType w:val="multilevel"/>
    <w:tmpl w:val="CBA4D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C73DB"/>
    <w:multiLevelType w:val="multilevel"/>
    <w:tmpl w:val="E334F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564138"/>
    <w:multiLevelType w:val="multilevel"/>
    <w:tmpl w:val="7E62DF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BD203A"/>
    <w:multiLevelType w:val="multilevel"/>
    <w:tmpl w:val="F3CC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F1D32"/>
    <w:multiLevelType w:val="multilevel"/>
    <w:tmpl w:val="7B32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C40E63"/>
    <w:multiLevelType w:val="multilevel"/>
    <w:tmpl w:val="4B289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A94B0D"/>
    <w:multiLevelType w:val="multilevel"/>
    <w:tmpl w:val="E8747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412D67"/>
    <w:multiLevelType w:val="multilevel"/>
    <w:tmpl w:val="F262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F93489"/>
    <w:multiLevelType w:val="multilevel"/>
    <w:tmpl w:val="467EA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EB7E47"/>
    <w:multiLevelType w:val="multilevel"/>
    <w:tmpl w:val="60262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52098D"/>
    <w:multiLevelType w:val="multilevel"/>
    <w:tmpl w:val="3B7A3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354FDA"/>
    <w:multiLevelType w:val="multilevel"/>
    <w:tmpl w:val="6A0A9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1031FF"/>
    <w:multiLevelType w:val="multilevel"/>
    <w:tmpl w:val="880215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4D766F"/>
    <w:multiLevelType w:val="multilevel"/>
    <w:tmpl w:val="9300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871DAF"/>
    <w:multiLevelType w:val="multilevel"/>
    <w:tmpl w:val="E064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EA6D90"/>
    <w:multiLevelType w:val="multilevel"/>
    <w:tmpl w:val="1180B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525DB5"/>
    <w:multiLevelType w:val="multilevel"/>
    <w:tmpl w:val="7076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640204"/>
    <w:multiLevelType w:val="multilevel"/>
    <w:tmpl w:val="ED44E8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6E7850"/>
    <w:multiLevelType w:val="multilevel"/>
    <w:tmpl w:val="BDC60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0661068">
    <w:abstractNumId w:val="1"/>
  </w:num>
  <w:num w:numId="2" w16cid:durableId="1719160016">
    <w:abstractNumId w:val="19"/>
  </w:num>
  <w:num w:numId="3" w16cid:durableId="400712882">
    <w:abstractNumId w:val="7"/>
  </w:num>
  <w:num w:numId="4" w16cid:durableId="1250313030">
    <w:abstractNumId w:val="4"/>
  </w:num>
  <w:num w:numId="5" w16cid:durableId="547839386">
    <w:abstractNumId w:val="12"/>
  </w:num>
  <w:num w:numId="6" w16cid:durableId="367224429">
    <w:abstractNumId w:val="14"/>
  </w:num>
  <w:num w:numId="7" w16cid:durableId="1001198090">
    <w:abstractNumId w:val="5"/>
  </w:num>
  <w:num w:numId="8" w16cid:durableId="1205485285">
    <w:abstractNumId w:val="9"/>
  </w:num>
  <w:num w:numId="9" w16cid:durableId="363294551">
    <w:abstractNumId w:val="6"/>
  </w:num>
  <w:num w:numId="10" w16cid:durableId="958990331">
    <w:abstractNumId w:val="15"/>
  </w:num>
  <w:num w:numId="11" w16cid:durableId="1476295722">
    <w:abstractNumId w:val="3"/>
  </w:num>
  <w:num w:numId="12" w16cid:durableId="656037239">
    <w:abstractNumId w:val="8"/>
  </w:num>
  <w:num w:numId="13" w16cid:durableId="1861042846">
    <w:abstractNumId w:val="17"/>
  </w:num>
  <w:num w:numId="14" w16cid:durableId="1509782917">
    <w:abstractNumId w:val="11"/>
  </w:num>
  <w:num w:numId="15" w16cid:durableId="1316228553">
    <w:abstractNumId w:val="13"/>
  </w:num>
  <w:num w:numId="16" w16cid:durableId="348487218">
    <w:abstractNumId w:val="16"/>
  </w:num>
  <w:num w:numId="17" w16cid:durableId="367295830">
    <w:abstractNumId w:val="2"/>
  </w:num>
  <w:num w:numId="18" w16cid:durableId="692998847">
    <w:abstractNumId w:val="18"/>
  </w:num>
  <w:num w:numId="19" w16cid:durableId="780874623">
    <w:abstractNumId w:val="0"/>
  </w:num>
  <w:num w:numId="20" w16cid:durableId="1098215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76"/>
    <w:rsid w:val="00124EA4"/>
    <w:rsid w:val="00173C76"/>
    <w:rsid w:val="0048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E2D3"/>
  <w15:chartTrackingRefBased/>
  <w15:docId w15:val="{92118FB7-E808-45BA-9D9C-669DC987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4">
    <w:name w:val="c14"/>
    <w:basedOn w:val="Normal"/>
    <w:rsid w:val="00173C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7">
    <w:name w:val="c7"/>
    <w:basedOn w:val="DefaultParagraphFont"/>
    <w:rsid w:val="00173C76"/>
  </w:style>
  <w:style w:type="paragraph" w:customStyle="1" w:styleId="c3">
    <w:name w:val="c3"/>
    <w:basedOn w:val="Normal"/>
    <w:rsid w:val="00173C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0">
    <w:name w:val="c0"/>
    <w:basedOn w:val="DefaultParagraphFont"/>
    <w:rsid w:val="00173C76"/>
  </w:style>
  <w:style w:type="character" w:customStyle="1" w:styleId="c5">
    <w:name w:val="c5"/>
    <w:basedOn w:val="DefaultParagraphFont"/>
    <w:rsid w:val="00173C76"/>
  </w:style>
  <w:style w:type="paragraph" w:customStyle="1" w:styleId="c1">
    <w:name w:val="c1"/>
    <w:basedOn w:val="Normal"/>
    <w:rsid w:val="00173C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16">
    <w:name w:val="c16"/>
    <w:basedOn w:val="DefaultParagraphFont"/>
    <w:rsid w:val="00173C76"/>
  </w:style>
  <w:style w:type="paragraph" w:customStyle="1" w:styleId="c9">
    <w:name w:val="c9"/>
    <w:basedOn w:val="Normal"/>
    <w:rsid w:val="00173C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10">
    <w:name w:val="c10"/>
    <w:basedOn w:val="DefaultParagraphFont"/>
    <w:rsid w:val="00173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3429">
      <w:bodyDiv w:val="1"/>
      <w:marLeft w:val="0"/>
      <w:marRight w:val="0"/>
      <w:marTop w:val="0"/>
      <w:marBottom w:val="0"/>
      <w:divBdr>
        <w:top w:val="none" w:sz="0" w:space="0" w:color="auto"/>
        <w:left w:val="none" w:sz="0" w:space="0" w:color="auto"/>
        <w:bottom w:val="none" w:sz="0" w:space="0" w:color="auto"/>
        <w:right w:val="none" w:sz="0" w:space="0" w:color="auto"/>
      </w:divBdr>
      <w:divsChild>
        <w:div w:id="592010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1143</Words>
  <Characters>6521</Characters>
  <Application>Microsoft Office Word</Application>
  <DocSecurity>0</DocSecurity>
  <Lines>54</Lines>
  <Paragraphs>15</Paragraphs>
  <ScaleCrop>false</ScaleCrop>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Alisa Sadler</dc:creator>
  <cp:keywords/>
  <dc:description/>
  <cp:lastModifiedBy>Dawn Alisa Sadler</cp:lastModifiedBy>
  <cp:revision>1</cp:revision>
  <dcterms:created xsi:type="dcterms:W3CDTF">2023-06-01T15:35:00Z</dcterms:created>
  <dcterms:modified xsi:type="dcterms:W3CDTF">2023-06-01T15:37:00Z</dcterms:modified>
</cp:coreProperties>
</file>